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>
        <w:rPr>
          <w:rFonts w:hint="eastAsia"/>
          <w:sz w:val="36"/>
          <w:szCs w:val="36"/>
        </w:rPr>
        <w:t>3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2015-2016-1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951"/>
        <w:gridCol w:w="2977"/>
        <w:gridCol w:w="3594"/>
      </w:tblGrid>
      <w:tr w:rsidR="00217619" w:rsidRPr="00217619" w:rsidTr="003B7D79">
        <w:tc>
          <w:tcPr>
            <w:tcW w:w="1951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594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F156AF" w:rsidTr="00F156AF">
        <w:trPr>
          <w:trHeight w:val="1021"/>
        </w:trPr>
        <w:tc>
          <w:tcPr>
            <w:tcW w:w="1951" w:type="dxa"/>
            <w:vAlign w:val="center"/>
          </w:tcPr>
          <w:p w:rsidR="00F156AF" w:rsidRDefault="00F156AF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BEA140</w:t>
            </w:r>
          </w:p>
        </w:tc>
        <w:tc>
          <w:tcPr>
            <w:tcW w:w="2977" w:type="dxa"/>
            <w:vAlign w:val="center"/>
          </w:tcPr>
          <w:p w:rsidR="00F156AF" w:rsidRDefault="00F156AF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定量分析（澳）</w:t>
            </w:r>
          </w:p>
        </w:tc>
        <w:tc>
          <w:tcPr>
            <w:tcW w:w="3594" w:type="dxa"/>
            <w:vAlign w:val="center"/>
          </w:tcPr>
          <w:p w:rsidR="00F156AF" w:rsidRPr="00DA4315" w:rsidRDefault="003665B4" w:rsidP="003665B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F156AF" w:rsidTr="00F156AF">
        <w:trPr>
          <w:trHeight w:val="1021"/>
        </w:trPr>
        <w:tc>
          <w:tcPr>
            <w:tcW w:w="1951" w:type="dxa"/>
            <w:vAlign w:val="center"/>
          </w:tcPr>
          <w:p w:rsidR="00F156AF" w:rsidRDefault="00F156AF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BFA141</w:t>
            </w:r>
          </w:p>
        </w:tc>
        <w:tc>
          <w:tcPr>
            <w:tcW w:w="2977" w:type="dxa"/>
            <w:vAlign w:val="center"/>
          </w:tcPr>
          <w:p w:rsidR="00F156AF" w:rsidRDefault="00F156AF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商业交易法（澳）</w:t>
            </w:r>
          </w:p>
        </w:tc>
        <w:tc>
          <w:tcPr>
            <w:tcW w:w="3594" w:type="dxa"/>
            <w:vAlign w:val="center"/>
          </w:tcPr>
          <w:p w:rsidR="00F156AF" w:rsidRDefault="00F156AF" w:rsidP="00F156AF">
            <w:pPr>
              <w:jc w:val="center"/>
            </w:pPr>
            <w:r w:rsidRPr="00F156AF">
              <w:t>Commercial Transactions Custom Book compiled from Gibson &amp; Fraser, Business Law (8th ed) 2014.</w:t>
            </w:r>
          </w:p>
        </w:tc>
      </w:tr>
      <w:tr w:rsidR="00F156AF" w:rsidTr="00F156AF">
        <w:trPr>
          <w:trHeight w:val="1021"/>
        </w:trPr>
        <w:tc>
          <w:tcPr>
            <w:tcW w:w="1951" w:type="dxa"/>
            <w:vAlign w:val="center"/>
          </w:tcPr>
          <w:p w:rsidR="00F156AF" w:rsidRDefault="00F156AF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BMA202</w:t>
            </w:r>
          </w:p>
        </w:tc>
        <w:tc>
          <w:tcPr>
            <w:tcW w:w="2977" w:type="dxa"/>
            <w:vAlign w:val="center"/>
          </w:tcPr>
          <w:p w:rsidR="00F156AF" w:rsidRDefault="00F156AF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战略性管理（澳）</w:t>
            </w:r>
          </w:p>
        </w:tc>
        <w:tc>
          <w:tcPr>
            <w:tcW w:w="3594" w:type="dxa"/>
            <w:vAlign w:val="center"/>
          </w:tcPr>
          <w:p w:rsidR="00F156AF" w:rsidRDefault="00F156AF" w:rsidP="00F156AF">
            <w:pPr>
              <w:jc w:val="center"/>
            </w:pPr>
            <w:r w:rsidRPr="00F156AF">
              <w:t>Hanson, D, Hitt, MA, Ireland, RD, &amp; Hoskisson, RE, 2014, Strategic management: competitiveness and globalisation, Cengage Learning, Melbourne.</w:t>
            </w:r>
          </w:p>
        </w:tc>
      </w:tr>
      <w:tr w:rsidR="00F156AF" w:rsidTr="00F156AF">
        <w:trPr>
          <w:trHeight w:val="1021"/>
        </w:trPr>
        <w:tc>
          <w:tcPr>
            <w:tcW w:w="1951" w:type="dxa"/>
            <w:vAlign w:val="center"/>
          </w:tcPr>
          <w:p w:rsidR="00F156AF" w:rsidRDefault="00F156AF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BMA215</w:t>
            </w:r>
          </w:p>
        </w:tc>
        <w:tc>
          <w:tcPr>
            <w:tcW w:w="2977" w:type="dxa"/>
            <w:vAlign w:val="center"/>
          </w:tcPr>
          <w:p w:rsidR="00F156AF" w:rsidRDefault="00F156AF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欧洲商务管理（澳）</w:t>
            </w:r>
          </w:p>
        </w:tc>
        <w:tc>
          <w:tcPr>
            <w:tcW w:w="3594" w:type="dxa"/>
            <w:vAlign w:val="center"/>
          </w:tcPr>
          <w:p w:rsidR="00F156AF" w:rsidRDefault="00F156AF" w:rsidP="00F156AF">
            <w:pPr>
              <w:jc w:val="center"/>
            </w:pPr>
            <w:r w:rsidRPr="00F156AF">
              <w:t>Johnson, D &amp; Turner, C 2006, European business, 2nd edn, Routledge, London.</w:t>
            </w:r>
          </w:p>
        </w:tc>
      </w:tr>
      <w:tr w:rsidR="00F156AF" w:rsidTr="00F156AF">
        <w:trPr>
          <w:trHeight w:val="1021"/>
        </w:trPr>
        <w:tc>
          <w:tcPr>
            <w:tcW w:w="1951" w:type="dxa"/>
            <w:vAlign w:val="center"/>
          </w:tcPr>
          <w:p w:rsidR="00F156AF" w:rsidRPr="00F156AF" w:rsidRDefault="00F156A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977" w:type="dxa"/>
            <w:vAlign w:val="center"/>
          </w:tcPr>
          <w:p w:rsidR="00F156AF" w:rsidRPr="00F156AF" w:rsidRDefault="00F156A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现代物流管理</w:t>
            </w:r>
          </w:p>
        </w:tc>
        <w:tc>
          <w:tcPr>
            <w:tcW w:w="3594" w:type="dxa"/>
            <w:vAlign w:val="center"/>
          </w:tcPr>
          <w:p w:rsidR="00F156AF" w:rsidRPr="004C09C5" w:rsidRDefault="00F005AE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C09C5">
              <w:rPr>
                <w:rFonts w:ascii="Arial Unicode MS" w:eastAsia="Arial Unicode MS" w:hAnsi="Arial Unicode MS" w:cs="Arial Unicode MS" w:hint="eastAsia"/>
              </w:rPr>
              <w:t>物流管理基础</w:t>
            </w:r>
          </w:p>
        </w:tc>
      </w:tr>
      <w:tr w:rsidR="00F156AF" w:rsidTr="00F156AF">
        <w:trPr>
          <w:trHeight w:val="1021"/>
        </w:trPr>
        <w:tc>
          <w:tcPr>
            <w:tcW w:w="1951" w:type="dxa"/>
            <w:vAlign w:val="center"/>
          </w:tcPr>
          <w:p w:rsidR="00F156AF" w:rsidRPr="00D35A84" w:rsidRDefault="00F156A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977" w:type="dxa"/>
            <w:vAlign w:val="center"/>
          </w:tcPr>
          <w:p w:rsidR="00F156AF" w:rsidRPr="00D35A84" w:rsidRDefault="00F156AF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594" w:type="dxa"/>
            <w:vAlign w:val="center"/>
          </w:tcPr>
          <w:p w:rsidR="00F156AF" w:rsidRPr="004C09C5" w:rsidRDefault="00F005AE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C09C5">
              <w:rPr>
                <w:rFonts w:ascii="Arial Unicode MS" w:eastAsia="Arial Unicode MS" w:hAnsi="Arial Unicode MS" w:cs="Arial Unicode MS" w:hint="eastAsia"/>
              </w:rPr>
              <w:t>财务管理（第三版）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F156AF"/>
    <w:p w:rsidR="00217619" w:rsidRDefault="00217619" w:rsidP="00217619">
      <w:pPr>
        <w:jc w:val="center"/>
      </w:pPr>
    </w:p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12B" w:rsidRDefault="0008512B" w:rsidP="00217619">
      <w:r>
        <w:separator/>
      </w:r>
    </w:p>
  </w:endnote>
  <w:endnote w:type="continuationSeparator" w:id="1">
    <w:p w:rsidR="0008512B" w:rsidRDefault="0008512B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12B" w:rsidRDefault="0008512B" w:rsidP="00217619">
      <w:r>
        <w:separator/>
      </w:r>
    </w:p>
  </w:footnote>
  <w:footnote w:type="continuationSeparator" w:id="1">
    <w:p w:rsidR="0008512B" w:rsidRDefault="0008512B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8512B"/>
    <w:rsid w:val="0010793E"/>
    <w:rsid w:val="00217619"/>
    <w:rsid w:val="0022196B"/>
    <w:rsid w:val="003665B4"/>
    <w:rsid w:val="003D7F4F"/>
    <w:rsid w:val="004C09C5"/>
    <w:rsid w:val="00757A49"/>
    <w:rsid w:val="0080120A"/>
    <w:rsid w:val="00845C46"/>
    <w:rsid w:val="008A7B9F"/>
    <w:rsid w:val="0093631E"/>
    <w:rsid w:val="00C60470"/>
    <w:rsid w:val="00C70B94"/>
    <w:rsid w:val="00DA4315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Company>MIC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9</cp:revision>
  <dcterms:created xsi:type="dcterms:W3CDTF">2015-05-29T02:21:00Z</dcterms:created>
  <dcterms:modified xsi:type="dcterms:W3CDTF">2015-06-16T08:35:00Z</dcterms:modified>
</cp:coreProperties>
</file>